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41 vom 11. Juli 2014</w:t>
      </w:r>
    </w:p>
    <w:p>
      <w:r>
        <w:t>GR Gerichte, 2014-07-11, DE</w:t>
      </w:r>
    </w:p>
    <w:p>
      <w:r>
        <w:rPr>
          <w:b/>
        </w:rPr>
        <w:t xml:space="preserve">Quelle: </w:t>
      </w:r>
      <w:r>
        <w:t>https://mcp.opencaselaw.ch/entscheid/gr_gerichte_KSK 2014 41</w:t>
      </w:r>
    </w:p>
    <w:p>
      <w:r>
        <w:t>FR: GR_GERICHTE KSK 2014 41 du 11 juillet 2014</w:t>
      </w:r>
    </w:p>
    <w:p>
      <w:r>
        <w:t>IT: GR_GERICHTE KSK 2014 41 del 11 luglio 2014</w:t>
      </w:r>
    </w:p>
    <w:p>
      <w:pPr>
        <w:pStyle w:val="Heading2"/>
      </w:pPr>
      <w:r>
        <w:t>Regeste</w:t>
      </w:r>
    </w:p>
    <w:p>
      <w:r>
        <w:t>Entschädigung der ausseramtlichen Konkursverwaltung | Aufsicht Direktes Gesuch</w:t>
      </w:r>
    </w:p>
    <w:p>
      <w:pPr>
        <w:pStyle w:val="Heading2"/>
      </w:pPr>
      <w:r>
        <w:t>Erwägungen</w:t>
      </w:r>
    </w:p>
    <w:p>
      <w:r>
        <w:rPr>
          <w:b/>
        </w:rPr>
        <w:t>E. 1</w:t>
      </w:r>
    </w:p>
    <w:p>
      <w:r>
        <w:t>Die Art. 43 bis 47 der Gebührenverordnung zum Bundesgesetz über Schuldbetreibung und Konkurs (GebV SchKG; SR 281.35) setzen die im Konkurs- verfahren zu berechnenden Gebühren fest. Diese Bestimmungen sind zwingend und gelten auch für die ausseramtliche Konkursverwaltung.</w:t>
      </w:r>
    </w:p>
    <w:p>
      <w:r>
        <w:rPr>
          <w:b/>
        </w:rPr>
        <w:t>E. 2</w:t>
      </w:r>
    </w:p>
    <w:p>
      <w:r>
        <w:t>Gemäss Art. 47 Abs. 1 der GebV SchKG setzt die Aufsichtsbehörde das Entgelt für die amtliche und ausseramtliche Konkursverwaltung für Verfahren fest, die besondere Abklärungen des Sachverhaltes oder von Rechtsfragen erfordern. Dabei berücksichtigt sie namentlich die Schwierigkeit und die Bedeutung der Sa- che, den Umfang der Bemühungen sowie den Zeitaufwand. Wie sich aus den Akten schliessen lässt, sind die Verhältnisse bei der konkursiten Firma kompliziert. Die Notwendigkeit besonderer Sachverhalts- oder Rechtsab- klärungen ist vorliegend hinreichend belegt worden. Es darf daher ohne weiteres davon ausgegangen werden, dass die Vorausset- zungen gemäss Art. 47 GebV SchKG erfüllt sind und demzufolge eine über die üblichen Tarifansätze hinausgehende Entschädigung berechtigt ist.</w:t>
      </w:r>
    </w:p>
    <w:p>
      <w:r>
        <w:t>Seite 3 — 5</w:t>
      </w:r>
    </w:p>
    <w:p>
      <w:r>
        <w:rPr>
          <w:b/>
        </w:rPr>
        <w:t>E. 3</w:t>
      </w:r>
    </w:p>
    <w:p>
      <w:r>
        <w:t>Die Praxis der kantonalen Aufsichtsbehörde geht dahin, dass sie grundsätz- lich nur Schlussrechnungen genehmigt und das entsprechende Honorar als pau- schales Entgelt festsetzt. Gemäss der genannten Bestimmung bilden nämlich der Zeitaufwand nur eines der massgeblichen Kriterien, und eine Gesamtbeurteilung ist erst möglich, wenn alle Tätigkeiten der ausseramtlichen Konkursverwaltung feststehen und überprüfbar sind.</w:t>
      </w:r>
    </w:p>
    <w:p>
      <w:r>
        <w:rPr>
          <w:b/>
        </w:rPr>
        <w:t>E. 4</w:t>
      </w:r>
    </w:p>
    <w:p>
      <w:r>
        <w:t>Der Konkursverwalter hat jedoch ein Interesse zu wissen, auf Grund wel- cher Kriterien die Entschädigung berechnet wird, insbesondere mit welchen Stun- denansätzen bei der Berechnung der Pauschalentschädigung ausgegangen wird. Dies kann einerseits nach dem Tarif der für den Treuhänder bzw. das Treuhand- unternehmen massgeblichen Honorarordnung geschehen. Andererseits kann die Honorarordnung für Rechtsanwälte nur insoweit beigezogen werden, als es sich um Verrichtungen und Abklärungen handelt, die besondere Rechtskenntnisse er- fordern. Nicht jede Tätigkeit im Rahmen eines Konkursverfahrens erfüllt diese Voraussetzungen. Es gilt insbesondere zu beachten, dass sich bei der ausseramt- lichen Konkursverwaltung um eine Aufgabe im öffentlichen Interesse handelt, als solche kann sie sich daher nicht am Gewinn orientieren. Somit sind die benannten Tarife für die Kostenfestsetzung zwar als Richtschnur, jedoch nicht als massge- bend zu verstehen (vgl.ROGER SCHOBER, in: Kommentar SchKG/ Gebührenverordnung, 2008, N 3 zu Art. 47; siehe auch BGE 120 III 97 E.2 S. 100). Die Gesamtentschädigung muss überdies in einem vernünftigen Verhältnis mit dem im Gebührentarif für die einfachen Verfahren festgesetzten Entschädi- gungen stehen (vgl. hiezu zum Ganzen BGE 108 III 68; 120 III 97). Ferner ist es auch dem sozialen Zweck der Gebühren im SchKG Rechnung zu tragen (BGE 120 III 97 E.3).</w:t>
      </w:r>
    </w:p>
    <w:p>
      <w:r>
        <w:rPr>
          <w:b/>
        </w:rPr>
        <w:t>E. 5</w:t>
      </w:r>
    </w:p>
    <w:p>
      <w:r>
        <w:t>Den ausseramtlichen Konkursverwaltern wird daher empfohlen, über Art der Tätigkeit und zeitlichen Aufwand detaillierte Aufzeichnungen zu machen und auch die Auslagen festzuhalten. Dabei sind die Tätigkeiten, die besondere Rechtskenntnisse erfordern, von jenen zu trennen, die kaufmännische Sachbear- beiter oder bloss Kanzleikräfte bewältigen können. Diese klar getrennten Auf- zeichnungen sind bei Abschluss des Konkursverfahrens zusammen mit einer be- gründeten Entschädigungseingabe zur Prüfung und Genehmigung der Aufsichts- behörde vorzulegen. Die Angaben müssen derart detailliert sein, dass eine ge- naue und effiziente Kontrolle möglich ist, um ein angemessenes pauschales Ent- gelt im Sinne der Rechtsprechung festsetzen zu können. Die genaue Überprüfung behält sich die Aufsichtsbehörde in jedem Falle vor.</w:t>
      </w:r>
    </w:p>
    <w:p>
      <w:r>
        <w:t>Seite 4 — 5</w:t>
      </w:r>
    </w:p>
    <w:p>
      <w:r>
        <w:rPr>
          <w:b/>
        </w:rPr>
        <w:t>E. 6</w:t>
      </w:r>
    </w:p>
    <w:p>
      <w:r>
        <w:t>Dieser Entscheid ergeht in Anwendung von Art. 18 Abs. 3 GOG in einzelrichter- licher Kompetenz.</w:t>
      </w:r>
    </w:p>
    <w:p>
      <w:r>
        <w:t>Seite 5 — 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